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318" w:rsidRPr="0011729C" w:rsidRDefault="00B71318" w:rsidP="0011729C">
      <w:pPr>
        <w:pStyle w:val="AralkYok"/>
        <w:jc w:val="center"/>
        <w:rPr>
          <w:b/>
          <w:sz w:val="24"/>
        </w:rPr>
      </w:pPr>
      <w:r w:rsidRPr="0011729C">
        <w:rPr>
          <w:b/>
          <w:sz w:val="24"/>
        </w:rPr>
        <w:t>T.C.</w:t>
      </w:r>
    </w:p>
    <w:p w:rsidR="00B71318" w:rsidRPr="0011729C" w:rsidRDefault="00B71318" w:rsidP="0011729C">
      <w:pPr>
        <w:pStyle w:val="AralkYok"/>
        <w:jc w:val="center"/>
        <w:rPr>
          <w:b/>
          <w:sz w:val="24"/>
        </w:rPr>
      </w:pPr>
      <w:r w:rsidRPr="0011729C">
        <w:rPr>
          <w:b/>
          <w:sz w:val="24"/>
        </w:rPr>
        <w:t>SOSYAL GÜVENLİK KURUMU BAŞKANLIĞI</w:t>
      </w:r>
    </w:p>
    <w:p w:rsidR="0011729C" w:rsidRDefault="00B71318" w:rsidP="0011729C">
      <w:pPr>
        <w:pStyle w:val="AralkYok"/>
        <w:jc w:val="center"/>
        <w:rPr>
          <w:b/>
          <w:sz w:val="24"/>
        </w:rPr>
      </w:pPr>
      <w:r w:rsidRPr="0011729C">
        <w:rPr>
          <w:b/>
          <w:sz w:val="24"/>
        </w:rPr>
        <w:t>Şanlıurfa Sosyal Güvenlik İl Müdürlüğü</w:t>
      </w:r>
    </w:p>
    <w:p w:rsidR="00B71318" w:rsidRPr="0011729C" w:rsidRDefault="00B71318" w:rsidP="0011729C">
      <w:pPr>
        <w:pStyle w:val="AralkYok"/>
        <w:jc w:val="center"/>
        <w:rPr>
          <w:b/>
          <w:sz w:val="24"/>
        </w:rPr>
      </w:pPr>
      <w:r w:rsidRPr="0011729C">
        <w:rPr>
          <w:b/>
          <w:sz w:val="24"/>
        </w:rPr>
        <w:t>Şanlıurfa Sağlık Sosyal Güvenlik Merkezi</w:t>
      </w:r>
    </w:p>
    <w:p w:rsidR="00B71318" w:rsidRDefault="00B71318" w:rsidP="00B71318">
      <w:pPr>
        <w:pStyle w:val="AralkYok"/>
      </w:pPr>
    </w:p>
    <w:p w:rsidR="00B71318" w:rsidRDefault="00B71318" w:rsidP="0011729C">
      <w:pPr>
        <w:pStyle w:val="AralkYok"/>
        <w:ind w:firstLine="708"/>
      </w:pPr>
      <w:r>
        <w:t xml:space="preserve">Konu: </w:t>
      </w:r>
      <w:r w:rsidR="00275F84">
        <w:t>Savunma</w:t>
      </w:r>
    </w:p>
    <w:p w:rsidR="00275F84" w:rsidRDefault="00275F84" w:rsidP="00B71318">
      <w:pPr>
        <w:pStyle w:val="AralkYok"/>
      </w:pPr>
    </w:p>
    <w:p w:rsidR="00275F84" w:rsidRDefault="00275F84" w:rsidP="00B71318">
      <w:pPr>
        <w:pStyle w:val="AralkYok"/>
      </w:pPr>
    </w:p>
    <w:p w:rsidR="00275F84" w:rsidRDefault="00275F84" w:rsidP="0011729C">
      <w:pPr>
        <w:pStyle w:val="AralkYok"/>
        <w:ind w:firstLine="708"/>
        <w:jc w:val="both"/>
      </w:pPr>
      <w:r>
        <w:t xml:space="preserve">Kurumunuz Rehberlik ve Teftiş Başkanlığı Müfettişliğince düzenlenen 01/01/2016 tarih ve 405346/01/SR/01 sayılı soruşturma raporuna istinaden Özel </w:t>
      </w:r>
      <w:proofErr w:type="spellStart"/>
      <w:r>
        <w:t>İbni</w:t>
      </w:r>
      <w:proofErr w:type="spellEnd"/>
      <w:r>
        <w:t xml:space="preserve"> Sina Tıp Merkezinde düzenlenen reçeteler hakkında savunmam talep edilmiştir.</w:t>
      </w:r>
    </w:p>
    <w:p w:rsidR="00275F84" w:rsidRDefault="00D25123" w:rsidP="0011729C">
      <w:pPr>
        <w:pStyle w:val="AralkYok"/>
        <w:jc w:val="both"/>
      </w:pPr>
      <w:r w:rsidRPr="00501A28">
        <w:rPr>
          <w:b/>
          <w:bCs/>
        </w:rPr>
        <w:t>Usul</w:t>
      </w:r>
      <w:r>
        <w:t xml:space="preserve"> </w:t>
      </w:r>
      <w:r w:rsidRPr="00501A28">
        <w:rPr>
          <w:b/>
          <w:bCs/>
        </w:rPr>
        <w:t>Yönünden</w:t>
      </w:r>
      <w:r>
        <w:t xml:space="preserve"> </w:t>
      </w:r>
      <w:r w:rsidR="006561B0" w:rsidRPr="00501A28">
        <w:rPr>
          <w:b/>
          <w:bCs/>
        </w:rPr>
        <w:t>İtirazlarımız</w:t>
      </w:r>
    </w:p>
    <w:p w:rsidR="00D25123" w:rsidRDefault="00D25123" w:rsidP="0011729C">
      <w:pPr>
        <w:pStyle w:val="AralkYok"/>
        <w:jc w:val="both"/>
      </w:pPr>
      <w:r>
        <w:t xml:space="preserve">Söz konusu reçetelerin tarihine </w:t>
      </w:r>
      <w:proofErr w:type="gramStart"/>
      <w:r>
        <w:t xml:space="preserve">bakıldığında  </w:t>
      </w:r>
      <w:r w:rsidR="006561B0">
        <w:t>201</w:t>
      </w:r>
      <w:r w:rsidR="007752E0">
        <w:t>0</w:t>
      </w:r>
      <w:proofErr w:type="gramEnd"/>
      <w:r w:rsidR="006561B0">
        <w:t xml:space="preserve"> ve 201</w:t>
      </w:r>
      <w:r w:rsidR="007752E0">
        <w:t xml:space="preserve">1 </w:t>
      </w:r>
      <w:r w:rsidR="006561B0">
        <w:t>yılları arasında</w:t>
      </w:r>
      <w:r w:rsidR="00297D46">
        <w:t xml:space="preserve"> karşılanan </w:t>
      </w:r>
      <w:r w:rsidR="006561B0">
        <w:t>reçeteler olduğu görülecektir</w:t>
      </w:r>
      <w:r w:rsidR="00E752A0">
        <w:t xml:space="preserve">. </w:t>
      </w:r>
      <w:r w:rsidR="006561B0">
        <w:t xml:space="preserve">Sosyal Güvenlik Kurumu ve Türk </w:t>
      </w:r>
      <w:r w:rsidR="00903AE9">
        <w:t>Eczacıları</w:t>
      </w:r>
      <w:r w:rsidR="006561B0">
        <w:t xml:space="preserve"> Birliği Üyesi eczaneler </w:t>
      </w:r>
      <w:proofErr w:type="gramStart"/>
      <w:r w:rsidR="006561B0">
        <w:t>arasında  ilaç</w:t>
      </w:r>
      <w:proofErr w:type="gramEnd"/>
      <w:r w:rsidR="006561B0">
        <w:t xml:space="preserve">  teminine ilişkin </w:t>
      </w:r>
      <w:r w:rsidR="00903AE9">
        <w:t>imzalanan s</w:t>
      </w:r>
      <w:r w:rsidR="00E752A0">
        <w:t>özleşme</w:t>
      </w:r>
      <w:r w:rsidR="00903AE9">
        <w:t xml:space="preserve"> bir özel  hukuk sözleşmesidir ve bu sözleşme Türk Borçlar kanununa tabiidir.</w:t>
      </w:r>
    </w:p>
    <w:p w:rsidR="00903AE9" w:rsidRDefault="00903AE9" w:rsidP="0011729C">
      <w:pPr>
        <w:pStyle w:val="AralkYok"/>
        <w:ind w:firstLine="708"/>
        <w:jc w:val="both"/>
      </w:pPr>
      <w:r>
        <w:t xml:space="preserve">Türk Borçlar Kanunu Madde </w:t>
      </w:r>
      <w:r w:rsidR="00995828">
        <w:t>146.m.</w:t>
      </w:r>
      <w:r>
        <w:t xml:space="preserve"> </w:t>
      </w:r>
      <w:proofErr w:type="gramStart"/>
      <w:r>
        <w:t>Gereği  taraflarca</w:t>
      </w:r>
      <w:proofErr w:type="gramEnd"/>
      <w:r>
        <w:t xml:space="preserve"> aksi belirtilmediği müddet</w:t>
      </w:r>
      <w:r w:rsidR="00995828">
        <w:t>ç</w:t>
      </w:r>
      <w:r>
        <w:t xml:space="preserve">e alacaklarla ilgili genel zamanaşımı süresi 10 yıldır. Fiilin meydana geldiği tarih </w:t>
      </w:r>
      <w:r w:rsidR="00384349">
        <w:t>reçete</w:t>
      </w:r>
      <w:r>
        <w:t xml:space="preserve"> </w:t>
      </w:r>
      <w:proofErr w:type="gramStart"/>
      <w:r>
        <w:t xml:space="preserve">kaydıyla  </w:t>
      </w:r>
      <w:r w:rsidR="00973F33">
        <w:t>başlayacağından</w:t>
      </w:r>
      <w:proofErr w:type="gramEnd"/>
      <w:r w:rsidR="00973F33">
        <w:t xml:space="preserve"> dolayı</w:t>
      </w:r>
      <w:r>
        <w:t xml:space="preserve"> </w:t>
      </w:r>
      <w:r w:rsidR="000F3DC6">
        <w:t xml:space="preserve">10 yıllık  zamanaşımı süresi  geçmiştir. Nitekim </w:t>
      </w:r>
      <w:proofErr w:type="spellStart"/>
      <w:proofErr w:type="gramStart"/>
      <w:r w:rsidR="00DC6061">
        <w:t>Yargıtayın</w:t>
      </w:r>
      <w:proofErr w:type="spellEnd"/>
      <w:r w:rsidR="00724BF7">
        <w:t xml:space="preserve">  söz</w:t>
      </w:r>
      <w:proofErr w:type="gramEnd"/>
      <w:r w:rsidR="00724BF7">
        <w:t xml:space="preserve">  konusu uyu</w:t>
      </w:r>
      <w:r w:rsidR="00693D7E">
        <w:t>ş</w:t>
      </w:r>
      <w:r w:rsidR="00724BF7">
        <w:t>mazl</w:t>
      </w:r>
      <w:r w:rsidR="00693D7E">
        <w:t>ıkl</w:t>
      </w:r>
      <w:r w:rsidR="00724BF7">
        <w:t xml:space="preserve">arda göz  önünde  bulundurduğu madde </w:t>
      </w:r>
      <w:r w:rsidR="003F4AA7">
        <w:t>T.B.K. 146.</w:t>
      </w:r>
      <w:r w:rsidR="003D77F1">
        <w:t xml:space="preserve"> </w:t>
      </w:r>
      <w:r w:rsidR="003F4AA7">
        <w:t xml:space="preserve">maddedir ve bu maddeye </w:t>
      </w:r>
      <w:r w:rsidR="00310A0F">
        <w:t xml:space="preserve">göre </w:t>
      </w:r>
      <w:r w:rsidR="00161809">
        <w:t>zamanaşımından</w:t>
      </w:r>
      <w:r w:rsidR="00A82D02">
        <w:t xml:space="preserve"> dolayı </w:t>
      </w:r>
      <w:r w:rsidR="003F4AA7">
        <w:t xml:space="preserve">herhangi  bir alacak </w:t>
      </w:r>
      <w:r w:rsidR="00FF6FF3">
        <w:t>tahakkuk ettirilemez</w:t>
      </w:r>
      <w:r w:rsidR="003F4AA7">
        <w:t>.</w:t>
      </w:r>
      <w:r w:rsidR="002920DD" w:rsidRPr="002920DD">
        <w:t xml:space="preserve"> </w:t>
      </w:r>
      <w:r w:rsidR="00161809">
        <w:t xml:space="preserve">(Yargıtay 13. Hukuk Dairesi </w:t>
      </w:r>
      <w:r w:rsidR="002920DD" w:rsidRPr="002920DD">
        <w:t>No: 2016/29392 Karar No: 2019/11636 Karar Tarihi: 27.11.2019</w:t>
      </w:r>
      <w:r w:rsidR="00450E3F">
        <w:t xml:space="preserve"> )</w:t>
      </w:r>
    </w:p>
    <w:p w:rsidR="007752E0" w:rsidRDefault="00310A0F" w:rsidP="0011729C">
      <w:pPr>
        <w:pStyle w:val="AralkYok"/>
        <w:jc w:val="both"/>
      </w:pPr>
      <w:r w:rsidRPr="00310A0F">
        <w:rPr>
          <w:b/>
          <w:bCs/>
        </w:rPr>
        <w:t>Esas</w:t>
      </w:r>
      <w:r>
        <w:t xml:space="preserve"> </w:t>
      </w:r>
      <w:r w:rsidRPr="00310A0F">
        <w:rPr>
          <w:b/>
          <w:bCs/>
        </w:rPr>
        <w:t>Yönünden</w:t>
      </w:r>
      <w:r>
        <w:t xml:space="preserve"> </w:t>
      </w:r>
      <w:r w:rsidRPr="00310A0F">
        <w:rPr>
          <w:b/>
          <w:bCs/>
        </w:rPr>
        <w:t>İtirazlarımız</w:t>
      </w:r>
      <w:r>
        <w:t xml:space="preserve"> </w:t>
      </w:r>
    </w:p>
    <w:p w:rsidR="007470FB" w:rsidRDefault="00275F84" w:rsidP="0011729C">
      <w:pPr>
        <w:pStyle w:val="AralkYok"/>
        <w:jc w:val="both"/>
      </w:pPr>
      <w:r>
        <w:t xml:space="preserve">2016 ve 2020 yılı SGK protokolünün </w:t>
      </w:r>
      <w:r w:rsidRPr="007470FB">
        <w:rPr>
          <w:b/>
          <w:i/>
        </w:rPr>
        <w:t>3.2. Reçete muhteviyatı ilaç bedellerinin eczaneye ödenebilmesi için, reçetelerin Sağlık Bakanlığı ve Kurum mevzuatına uygun olarak düzenlenmiş olması, aşağıda sayılan işlemlerin reçeteye uygulanması ve belirtilen belgelerin reçete ekinde bulunması şarttır. Eczane tarafından bu özellikleri taşımayan reçeteler kabul edilmeyecek, kabul edilse dahi bu reçetelerdeki ilaç bedelleri [(3.3.) numaralı madde kapsamında yapılan iade sonrasında düzeltilmiş bulunanlar hariç] Kurum tarafından ödenmeyecektir.</w:t>
      </w:r>
      <w:r>
        <w:rPr>
          <w:i/>
        </w:rPr>
        <w:t xml:space="preserve"> </w:t>
      </w:r>
      <w:proofErr w:type="gramStart"/>
      <w:r w:rsidR="007470FB">
        <w:t>m</w:t>
      </w:r>
      <w:r>
        <w:t>addesi</w:t>
      </w:r>
      <w:proofErr w:type="gramEnd"/>
      <w:r>
        <w:t xml:space="preserve"> ve </w:t>
      </w:r>
      <w:r w:rsidR="007470FB">
        <w:t xml:space="preserve">protokolün </w:t>
      </w:r>
      <w:r w:rsidRPr="007470FB">
        <w:rPr>
          <w:b/>
          <w:i/>
        </w:rPr>
        <w:t xml:space="preserve">3.2.1. Reçetelerde, hekimin adı soyadı, kuruluş/kurumun adı, hekimin ana uzmanlık dalı ile birlikte var ise yan uzmanlık </w:t>
      </w:r>
      <w:bookmarkStart w:id="0" w:name="_GoBack"/>
      <w:bookmarkEnd w:id="0"/>
      <w:r w:rsidRPr="007470FB">
        <w:rPr>
          <w:b/>
          <w:i/>
        </w:rPr>
        <w:t>dalı, asistanlar için ihtisas yaptığı uzmanlık dalı, hekimin diploma numarası veya Sağlık Bakanlığınca verilen doktor diploma tescil numarası bilgileri ve hekimin ıslak imzası mutlaka yer alacaktır. Ayrıca reçetelerde hasta adı soyadı, T.C. Kimlik Numarası, reçete tanzim tarihi ile MEDULA takip numarası veya protokol numarası yer alacaktır. İmza dışındaki bilgiler, el yazısı ile yazılabileceği gibi kaşe veya bilgisayar ortamında veya hastane otomasyon sistemleri tarafından basılan etiketin/barkodun yapıştırılması veya bilgisayardan yazılmış reçete şeklinde olabilir. Hastane bilgi etiketinde yer alan tarih ile hekimin yazdığı reçete tarihi arasında farklılık bulunması halinde hekimin reçeteye yazmış olduğu tarih esas alınır. Reçetelerde, kurum başhekiminin onayı ve mühür aranmayacaktır. Kurumla sözleşmeli resmi sağlık kurumlarınca temin edilemeyen yatan hastalara ait reçetelerde "Eczanemizde Yoktur. Yatan Hasta" kaşesi ve başhekimlik onayı aranacaktır.</w:t>
      </w:r>
      <w:r>
        <w:t xml:space="preserve"> </w:t>
      </w:r>
    </w:p>
    <w:p w:rsidR="00275F84" w:rsidRDefault="00275F84" w:rsidP="0011729C">
      <w:pPr>
        <w:pStyle w:val="AralkYok"/>
        <w:ind w:firstLine="708"/>
        <w:jc w:val="both"/>
      </w:pPr>
      <w:r w:rsidRPr="007470FB">
        <w:rPr>
          <w:b/>
          <w:i/>
        </w:rPr>
        <w:t>3.2.2. Reçetelerin arka yüzünde; reçete sahibi ya da ilacı/ilaçları alan kişinin adı, soyadı, imzası ve “</w:t>
      </w:r>
      <w:proofErr w:type="gramStart"/>
      <w:r w:rsidRPr="007470FB">
        <w:rPr>
          <w:b/>
          <w:i/>
        </w:rPr>
        <w:t>....</w:t>
      </w:r>
      <w:proofErr w:type="gramEnd"/>
      <w:r w:rsidRPr="007470FB">
        <w:rPr>
          <w:b/>
          <w:i/>
        </w:rPr>
        <w:t xml:space="preserve"> kalem </w:t>
      </w:r>
      <w:proofErr w:type="gramStart"/>
      <w:r w:rsidRPr="007470FB">
        <w:rPr>
          <w:b/>
          <w:i/>
        </w:rPr>
        <w:t>....</w:t>
      </w:r>
      <w:proofErr w:type="gramEnd"/>
      <w:r w:rsidRPr="007470FB">
        <w:rPr>
          <w:b/>
          <w:i/>
        </w:rPr>
        <w:t>kutu ilacı aldım” ibaresi, T.C. Kimlik Numarası, T.C. Kimlik Numarası olmaması halinde ibraz edilen kimlik belge numarası yer alacaktır. Okuma yazma bilmeyen reçete sahibi veya ilacı/ilaçları alan kişinin reçeteye parmak izi alınır.</w:t>
      </w:r>
      <w:r w:rsidR="007470FB">
        <w:rPr>
          <w:b/>
          <w:i/>
        </w:rPr>
        <w:t xml:space="preserve"> </w:t>
      </w:r>
      <w:r w:rsidR="007470FB">
        <w:t xml:space="preserve">Maddeleri gereğince eczanemize gelen reçetelerin 3.2 maddesinde bahsedilen Sağlık Bakanlığı ve Kurum mevzuatına uygunluğu kontrol edilerek kabul edilir. Reçeteli ilaçlarını teslim almak üzere gelen hasta/hasta yakınlarına ait ıslak imzalar alınarak ilaçlar ilgili kişilere teslim edilir. </w:t>
      </w:r>
    </w:p>
    <w:p w:rsidR="007470FB" w:rsidRDefault="007470FB" w:rsidP="0011729C">
      <w:pPr>
        <w:pStyle w:val="AralkYok"/>
        <w:jc w:val="both"/>
      </w:pPr>
    </w:p>
    <w:p w:rsidR="007470FB" w:rsidRDefault="007470FB" w:rsidP="0011729C">
      <w:pPr>
        <w:pStyle w:val="AralkYok"/>
        <w:ind w:firstLine="708"/>
        <w:jc w:val="both"/>
      </w:pPr>
      <w:r>
        <w:t>Ek listede yer alan reçeteler çok eski dönemlere ait olup bu reçeteleri tek tek hatırlamamız mümkün olmamakla beraber eczanemizdeki işleyiş yukarda bahsedilen sorumluluklarımız çerçevesinde yürütülmektedir.</w:t>
      </w:r>
      <w:r w:rsidR="0087713C">
        <w:t xml:space="preserve"> Bunun haricinde 3. Şahıslar vesilesiyle ortaya çıkan herhangi bir usulsüzlük var ise eczanemiz bundan sorumlu tutulamaz. Kurumun yapmış olduğu usulsüzlük tespit </w:t>
      </w:r>
      <w:r w:rsidR="0087713C">
        <w:lastRenderedPageBreak/>
        <w:t>işlemi varsa dahi burada oluşan zararın, soruşturmaya konu olan ilgili sağlık kuruluşundan tahsili gerekir.</w:t>
      </w:r>
    </w:p>
    <w:p w:rsidR="0087713C" w:rsidRDefault="0087713C" w:rsidP="0011729C">
      <w:pPr>
        <w:pStyle w:val="AralkYok"/>
        <w:jc w:val="both"/>
      </w:pPr>
    </w:p>
    <w:p w:rsidR="0087713C" w:rsidRDefault="0087713C" w:rsidP="0011729C">
      <w:pPr>
        <w:pStyle w:val="AralkYok"/>
        <w:ind w:firstLine="708"/>
        <w:jc w:val="both"/>
      </w:pPr>
      <w:r>
        <w:t>Söz konusu reçetelerin toplam tutarı da gözetildiğinde bu kadar düşük tutarlı reçetelerde, müfettişliğince tespit edilen usulsüzlüklerde eczanemizin müdahilinin olmadığı görünecektir.</w:t>
      </w:r>
      <w:r w:rsidR="00067502">
        <w:t xml:space="preserve"> </w:t>
      </w:r>
    </w:p>
    <w:p w:rsidR="0011729C" w:rsidRDefault="0011729C" w:rsidP="0011729C">
      <w:pPr>
        <w:pStyle w:val="AralkYok"/>
        <w:jc w:val="both"/>
      </w:pPr>
      <w:r>
        <w:tab/>
      </w:r>
    </w:p>
    <w:p w:rsidR="0011729C" w:rsidRDefault="0011729C" w:rsidP="0011729C">
      <w:pPr>
        <w:pStyle w:val="AralkYok"/>
        <w:ind w:firstLine="708"/>
        <w:jc w:val="both"/>
      </w:pPr>
      <w:r>
        <w:t>Gereğinin yapılmasını arz ederim.</w:t>
      </w:r>
    </w:p>
    <w:p w:rsidR="0011729C" w:rsidRDefault="0011729C" w:rsidP="0011729C">
      <w:pPr>
        <w:pStyle w:val="AralkYok"/>
        <w:jc w:val="both"/>
      </w:pPr>
    </w:p>
    <w:p w:rsidR="007470FB" w:rsidRPr="007470FB" w:rsidRDefault="007470FB" w:rsidP="0011729C">
      <w:pPr>
        <w:pStyle w:val="AralkYok"/>
        <w:jc w:val="both"/>
      </w:pPr>
    </w:p>
    <w:sectPr w:rsidR="007470FB" w:rsidRPr="00747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F5"/>
    <w:rsid w:val="00067502"/>
    <w:rsid w:val="000F3DC6"/>
    <w:rsid w:val="0011729C"/>
    <w:rsid w:val="00161809"/>
    <w:rsid w:val="00275F84"/>
    <w:rsid w:val="002920DD"/>
    <w:rsid w:val="00297D46"/>
    <w:rsid w:val="00310A0F"/>
    <w:rsid w:val="00384349"/>
    <w:rsid w:val="003D77F1"/>
    <w:rsid w:val="003F4AA7"/>
    <w:rsid w:val="00450E3F"/>
    <w:rsid w:val="004F49F5"/>
    <w:rsid w:val="00501A28"/>
    <w:rsid w:val="006561B0"/>
    <w:rsid w:val="00693D7E"/>
    <w:rsid w:val="00724BF7"/>
    <w:rsid w:val="007470FB"/>
    <w:rsid w:val="007752E0"/>
    <w:rsid w:val="0087713C"/>
    <w:rsid w:val="00903AE9"/>
    <w:rsid w:val="00973F33"/>
    <w:rsid w:val="00995828"/>
    <w:rsid w:val="00A82D02"/>
    <w:rsid w:val="00B71318"/>
    <w:rsid w:val="00CD6058"/>
    <w:rsid w:val="00D25123"/>
    <w:rsid w:val="00D37C52"/>
    <w:rsid w:val="00DC6061"/>
    <w:rsid w:val="00E752A0"/>
    <w:rsid w:val="00FF6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71B9"/>
  <w15:chartTrackingRefBased/>
  <w15:docId w15:val="{96F1B3DC-BC0A-409F-BB15-CFE36A5C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71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2022-09-21T09:59:00Z</dcterms:created>
  <dcterms:modified xsi:type="dcterms:W3CDTF">2022-09-21T09:59:00Z</dcterms:modified>
</cp:coreProperties>
</file>